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jc w:val="center"/>
        <w:textAlignment w:val="auto"/>
        <w:rPr>
          <w:rFonts w:hint="default"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第二届交通企业财务数智化创新大赛</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管理办法</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方正小标宋简体" w:hAnsi="方正小标宋简体" w:eastAsia="方正小标宋简体" w:cs="方正小标宋简体"/>
          <w:sz w:val="32"/>
          <w:szCs w:val="32"/>
          <w:lang w:val="zh-TW" w:eastAsia="zh-TW"/>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 总则</w:t>
      </w:r>
    </w:p>
    <w:p>
      <w:pPr>
        <w:pStyle w:val="2"/>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切实提升企业员工的实务操作技能与专业素养为充分调动交通财税工作人员学习积极性，提升企业员工业务实操能力，扎实推动新会计准则贯彻执行、业财深度融合协同、税务合规能力提升、风控机制迭代升级等重点工作取得实效，形成一批可复制、可推广、高质量的财务数智化创新成果，为构建一流企业管理现代化理论体系提供参考借鉴。中国公路学会交通投融资分会在广泛调研和听取理事单位代表意见和建议基础上，决定举办“第二届交通企业财务数智化创新大赛”（以下简称“大赛”）。为确保大赛科学、公正、高质量开展，特制定本办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bCs/>
          <w:sz w:val="32"/>
          <w:szCs w:val="32"/>
          <w:lang w:val="en-US" w:eastAsia="zh-CN"/>
        </w:rPr>
      </w:pPr>
      <w:r>
        <w:rPr>
          <w:rFonts w:hint="eastAsia" w:ascii="黑体" w:hAnsi="黑体" w:eastAsia="黑体" w:cs="黑体"/>
          <w:b w:val="0"/>
          <w:bCs w:val="0"/>
          <w:sz w:val="32"/>
          <w:szCs w:val="32"/>
        </w:rPr>
        <w:t>第二章 原则</w:t>
      </w:r>
      <w:r>
        <w:rPr>
          <w:rFonts w:hint="eastAsia" w:ascii="黑体" w:hAnsi="黑体" w:eastAsia="黑体" w:cs="黑体"/>
          <w:b w:val="0"/>
          <w:bCs w:val="0"/>
          <w:sz w:val="32"/>
          <w:szCs w:val="32"/>
          <w:lang w:val="en-US" w:eastAsia="zh-CN"/>
        </w:rPr>
        <w:t>与</w:t>
      </w:r>
      <w:r>
        <w:rPr>
          <w:rFonts w:hint="eastAsia" w:ascii="黑体" w:hAnsi="黑体" w:eastAsia="黑体" w:cs="黑体"/>
          <w:b w:val="0"/>
          <w:bCs w:val="0"/>
          <w:sz w:val="32"/>
          <w:szCs w:val="32"/>
        </w:rPr>
        <w:t>设置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第一条</w:t>
      </w:r>
      <w:r>
        <w:rPr>
          <w:rFonts w:hint="eastAsia" w:ascii="仿宋" w:hAnsi="仿宋" w:eastAsia="仿宋" w:cs="仿宋"/>
          <w:sz w:val="32"/>
          <w:szCs w:val="32"/>
          <w:lang w:val="en-US" w:eastAsia="zh-CN"/>
        </w:rPr>
        <w:t xml:space="preserve"> 大赛坚持公平、公正、公开原则。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第二条</w:t>
      </w:r>
      <w:r>
        <w:rPr>
          <w:rFonts w:hint="eastAsia" w:ascii="仿宋" w:hAnsi="仿宋" w:eastAsia="仿宋" w:cs="仿宋"/>
          <w:sz w:val="32"/>
          <w:szCs w:val="32"/>
          <w:lang w:val="en-US" w:eastAsia="zh-CN"/>
        </w:rPr>
        <w:t xml:space="preserve"> 大赛由个人能力赛和团体案例赛两部分组成。个人能力赛奖项分为两个组别：“财税业务知识赛”“财税精英展示赛”。各组别分别独立进行排名。团体案例赛奖项分为四个组别：“财务治理创新”“审计风控提升”“微创新应用”“AI融合实践”。各组别分别独立进行排名。</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 w:hAnsi="仿宋" w:eastAsia="仿宋" w:cs="仿宋"/>
          <w:sz w:val="32"/>
          <w:szCs w:val="32"/>
          <w:highlight w:val="green"/>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sz w:val="32"/>
          <w:szCs w:val="32"/>
          <w:lang w:val="en-US" w:eastAsia="zh-CN"/>
        </w:rPr>
        <w:t xml:space="preserve"> 大赛设个人能力赛特等奖、一等奖、二等奖和三等奖，团体案例赛特等奖、一等奖、二等奖和三等奖。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章  范围</w:t>
      </w:r>
      <w:r>
        <w:rPr>
          <w:rFonts w:hint="eastAsia" w:ascii="黑体" w:hAnsi="黑体" w:eastAsia="黑体" w:cs="黑体"/>
          <w:b w:val="0"/>
          <w:bCs w:val="0"/>
          <w:sz w:val="32"/>
          <w:szCs w:val="32"/>
          <w:lang w:val="en-US" w:eastAsia="zh-CN"/>
        </w:rPr>
        <w:t>和条件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sz w:val="32"/>
          <w:szCs w:val="32"/>
          <w:lang w:val="en-US" w:eastAsia="zh-CN"/>
        </w:rPr>
        <w:t xml:space="preserve"> 参赛范围包括在中华人民共和国境内依法注册或登记并具有独立法人资格的主要从事交通基础设施的建设和维护、运营管理、物流与运输服务、装备制造等业务主体的交通企事业单位及所属子（分）公司等。参赛单位须为中国公路学会单位会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2"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b/>
          <w:bCs/>
          <w:color w:val="auto"/>
          <w:sz w:val="32"/>
          <w:szCs w:val="32"/>
          <w:highlight w:val="none"/>
          <w:lang w:val="en-US" w:eastAsia="zh-CN"/>
        </w:rPr>
        <w:t>第五条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sz w:val="32"/>
          <w:szCs w:val="32"/>
          <w:lang w:val="en-US" w:eastAsia="zh-CN"/>
        </w:rPr>
        <w:t>个人能力赛面向交通企业财税人员开放，可由企业统一组织报名，也可由财务人员自行报名参赛。团体案例赛由参赛企业推选具备财税专业背景或工作经验的财税管理人员组成代表队参赛，每家企业每个赛道最多报送两支代表队，每支代表队限报一项参赛案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黑体" w:hAnsi="黑体" w:eastAsia="黑体" w:cs="黑体"/>
          <w:b w:val="0"/>
          <w:bCs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组织和管理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b w:val="0"/>
          <w:bCs w:val="0"/>
          <w:sz w:val="32"/>
          <w:szCs w:val="32"/>
        </w:rPr>
        <w:t xml:space="preserve"> </w:t>
      </w:r>
      <w:r>
        <w:rPr>
          <w:rFonts w:hint="eastAsia" w:ascii="仿宋" w:hAnsi="仿宋" w:eastAsia="仿宋" w:cs="仿宋"/>
          <w:sz w:val="32"/>
          <w:szCs w:val="32"/>
          <w:lang w:val="en-US" w:eastAsia="zh-CN"/>
        </w:rPr>
        <w:t>为加强大赛的组织领导，确保大赛顺利实施，成立大赛组委会，负责赛事整体策划、统筹协调、规则制定等工作。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大赛组委会办公室设在中国公路学会交通投融资分会秘书处，负责材料收集、赛事组织、后勤保障、联络协调等具体工作。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为确保大赛公平公正，由大赛组委会邀请交通、财税、信息化等领域专家组成评议委员会，负责赛事成绩评议和打分工作。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9" w:firstLineChars="228"/>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晋级原则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 xml:space="preserve">条 </w:t>
      </w:r>
      <w:r>
        <w:rPr>
          <w:rFonts w:hint="eastAsia" w:ascii="仿宋" w:hAnsi="仿宋" w:eastAsia="仿宋" w:cs="仿宋"/>
          <w:sz w:val="32"/>
          <w:szCs w:val="32"/>
          <w:lang w:val="en-US" w:eastAsia="zh-CN"/>
        </w:rPr>
        <w:t>个人能力赛采用机考答题和现场展示等形式，根据成绩排名按比例确定晋级人选及最终名次。团体案例赛由评议委员会依据创新性、典型性、应用性、推广性等原则进行综合评议打分。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大赛流程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第十条 </w:t>
      </w:r>
      <w:r>
        <w:rPr>
          <w:rFonts w:hint="eastAsia" w:ascii="仿宋" w:hAnsi="仿宋" w:eastAsia="仿宋" w:cs="仿宋"/>
          <w:sz w:val="32"/>
          <w:szCs w:val="32"/>
          <w:lang w:val="en-US" w:eastAsia="zh-CN"/>
        </w:rPr>
        <w:t>报名。个人能力赛参赛选手填写《第二届交通企业财务数智化创新大赛个人能力赛报名表》。团体案例赛参赛企业填写《第二届交通企业财务数智化创新大赛团体案例赛申报书》发至指定邮箱，并将加盖公章纸质版申报书及电子材料（U盘或光盘）邮寄至大赛组委会办公室。</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lang w:val="en-US" w:eastAsia="zh-CN"/>
        </w:rPr>
        <w:t>形式审核。大赛组委会办公室按照参赛要求对参赛选手和参赛团队资质进行形式审核。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第十二条 </w:t>
      </w:r>
      <w:r>
        <w:rPr>
          <w:rFonts w:hint="eastAsia" w:ascii="仿宋" w:hAnsi="仿宋" w:eastAsia="仿宋" w:cs="仿宋"/>
          <w:b w:val="0"/>
          <w:bCs w:val="0"/>
          <w:sz w:val="32"/>
          <w:szCs w:val="32"/>
          <w:lang w:val="en-US" w:eastAsia="zh-CN"/>
        </w:rPr>
        <w:t>大赛初赛。</w:t>
      </w:r>
      <w:r>
        <w:rPr>
          <w:rFonts w:hint="eastAsia" w:ascii="仿宋" w:hAnsi="仿宋" w:eastAsia="仿宋" w:cs="仿宋"/>
          <w:sz w:val="32"/>
          <w:szCs w:val="32"/>
          <w:lang w:val="en-US" w:eastAsia="zh-CN"/>
        </w:rPr>
        <w:t>个人能力赛由大赛组委会统一安排考核，根据成绩排名按比例确定入选复赛名单。团体案例赛由大赛组委会对材料进行形式审核后，隐去参赛单位信息提交评议委员会进行盲审打分。评议依据初赛专项评议标准，重点核查材料规范性、问题分析深度及初步创新思路，根据成绩排名按比例晋级复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第十三条 </w:t>
      </w:r>
      <w:r>
        <w:rPr>
          <w:rFonts w:hint="eastAsia" w:ascii="仿宋" w:hAnsi="仿宋" w:eastAsia="仿宋" w:cs="仿宋"/>
          <w:sz w:val="32"/>
          <w:szCs w:val="32"/>
          <w:lang w:val="en-US" w:eastAsia="zh-CN"/>
        </w:rPr>
        <w:t>大赛复赛。个人能力赛由大赛组委会统一安排考核，根据成绩排名按比例确定入选决赛名单。团体案例赛由评议委员会对</w:t>
      </w:r>
      <w:r>
        <w:rPr>
          <w:rFonts w:hint="eastAsia" w:ascii="仿宋" w:hAnsi="仿宋" w:eastAsia="仿宋" w:cs="仿宋"/>
          <w:sz w:val="32"/>
          <w:szCs w:val="32"/>
          <w:highlight w:val="none"/>
        </w:rPr>
        <w:t>参赛</w:t>
      </w:r>
      <w:r>
        <w:rPr>
          <w:rFonts w:hint="eastAsia" w:ascii="仿宋" w:hAnsi="仿宋" w:eastAsia="仿宋" w:cs="仿宋"/>
          <w:sz w:val="32"/>
          <w:szCs w:val="32"/>
          <w:highlight w:val="none"/>
          <w:lang w:val="en-US" w:eastAsia="zh-CN"/>
        </w:rPr>
        <w:t>案例</w:t>
      </w:r>
      <w:r>
        <w:rPr>
          <w:rFonts w:hint="eastAsia" w:ascii="仿宋" w:hAnsi="仿宋" w:eastAsia="仿宋" w:cs="仿宋"/>
          <w:sz w:val="32"/>
          <w:szCs w:val="32"/>
          <w:highlight w:val="none"/>
        </w:rPr>
        <w:t>录制演示视频</w:t>
      </w:r>
      <w:r>
        <w:rPr>
          <w:rFonts w:hint="eastAsia" w:ascii="仿宋" w:hAnsi="仿宋" w:eastAsia="仿宋" w:cs="仿宋"/>
          <w:sz w:val="32"/>
          <w:szCs w:val="32"/>
          <w:lang w:val="en-US" w:eastAsia="zh-CN"/>
        </w:rPr>
        <w:t>依据</w:t>
      </w:r>
      <w:r>
        <w:rPr>
          <w:rFonts w:hint="eastAsia" w:ascii="仿宋" w:hAnsi="仿宋" w:eastAsia="仿宋" w:cs="仿宋"/>
          <w:sz w:val="32"/>
          <w:szCs w:val="32"/>
          <w:highlight w:val="none"/>
          <w:lang w:val="en-US" w:eastAsia="zh-CN"/>
        </w:rPr>
        <w:t>复赛</w:t>
      </w:r>
      <w:r>
        <w:rPr>
          <w:rFonts w:hint="eastAsia" w:ascii="仿宋" w:hAnsi="仿宋" w:eastAsia="仿宋" w:cs="仿宋"/>
          <w:sz w:val="32"/>
          <w:szCs w:val="32"/>
          <w:highlight w:val="none"/>
        </w:rPr>
        <w:t>专项</w:t>
      </w:r>
      <w:r>
        <w:rPr>
          <w:rFonts w:hint="eastAsia" w:ascii="仿宋" w:hAnsi="仿宋" w:eastAsia="仿宋" w:cs="仿宋"/>
          <w:sz w:val="32"/>
          <w:szCs w:val="32"/>
          <w:highlight w:val="none"/>
          <w:lang w:eastAsia="zh-CN"/>
        </w:rPr>
        <w:t>评议</w:t>
      </w:r>
      <w:r>
        <w:rPr>
          <w:rFonts w:hint="eastAsia" w:ascii="仿宋" w:hAnsi="仿宋" w:eastAsia="仿宋" w:cs="仿宋"/>
          <w:sz w:val="32"/>
          <w:szCs w:val="32"/>
          <w:highlight w:val="none"/>
        </w:rPr>
        <w:t>标准</w:t>
      </w:r>
      <w:r>
        <w:rPr>
          <w:rFonts w:hint="eastAsia" w:ascii="仿宋" w:hAnsi="仿宋" w:eastAsia="仿宋" w:cs="仿宋"/>
          <w:sz w:val="32"/>
          <w:szCs w:val="32"/>
          <w:lang w:val="en-US" w:eastAsia="zh-CN"/>
        </w:rPr>
        <w:t>对方案可行性、内容深度及视频展示效果综合打分，根据成绩排名按比例确定入选决赛名单。其中，AI融合实践赛不设置复赛。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第十四条</w:t>
      </w:r>
      <w:r>
        <w:rPr>
          <w:rFonts w:hint="eastAsia" w:ascii="仿宋" w:hAnsi="仿宋" w:eastAsia="仿宋" w:cs="仿宋"/>
          <w:b w:val="0"/>
          <w:bCs w:val="0"/>
          <w:sz w:val="32"/>
          <w:szCs w:val="32"/>
          <w:lang w:val="en-US" w:eastAsia="zh-CN"/>
        </w:rPr>
        <w:t xml:space="preserve"> </w:t>
      </w:r>
      <w:r>
        <w:rPr>
          <w:rFonts w:hint="eastAsia" w:ascii="仿宋" w:hAnsi="仿宋" w:eastAsia="仿宋" w:cs="仿宋"/>
          <w:sz w:val="32"/>
          <w:szCs w:val="32"/>
          <w:lang w:val="en-US" w:eastAsia="zh-CN"/>
        </w:rPr>
        <w:t>决赛名单公示。决赛入选名单在中国公路学会网、中国公路网以及中国公路学会交通投融资分会微信公众号等相关媒体上予以公示，公示期为5个工作日。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 xml:space="preserve">第十五条 </w:t>
      </w:r>
      <w:r>
        <w:rPr>
          <w:rFonts w:hint="eastAsia" w:ascii="仿宋" w:hAnsi="仿宋" w:eastAsia="仿宋" w:cs="仿宋"/>
          <w:sz w:val="32"/>
          <w:szCs w:val="32"/>
          <w:lang w:val="en-US" w:eastAsia="zh-CN"/>
        </w:rPr>
        <w:t>大赛决赛。个人能力赛决赛采用现场擂台赛形式进行，经现场答题得分确定最终成绩。团体案例赛决赛采用案例答辩形式进行，由进入决赛的队伍各选派5人参赛，考核参赛队伍现场应变和综合能力，评议委员会依据每支队伍现场得分确定最终成绩。</w:t>
      </w:r>
    </w:p>
    <w:p>
      <w:pPr>
        <w:pStyle w:val="6"/>
        <w:keepNext w:val="0"/>
        <w:keepLines w:val="0"/>
        <w:pageBreakBefore w:val="0"/>
        <w:widowControl w:val="0"/>
        <w:kinsoku/>
        <w:wordWrap/>
        <w:overflowPunct/>
        <w:topLinePunct w:val="0"/>
        <w:autoSpaceDE/>
        <w:autoSpaceDN/>
        <w:bidi w:val="0"/>
        <w:adjustRightInd/>
        <w:snapToGrid/>
        <w:spacing w:after="0" w:line="600" w:lineRule="exact"/>
        <w:ind w:left="0" w:leftChars="0"/>
        <w:jc w:val="both"/>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第七章 表彰和宣传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在中国公路学会交通投融资分会举办的“交通投融资学术年会”或中国公路学会重要学术活动期间进行表彰，并向获奖团队和个人颁发证书和奖杯。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七</w:t>
      </w:r>
      <w:r>
        <w:rPr>
          <w:rFonts w:hint="eastAsia" w:ascii="仿宋" w:hAnsi="仿宋" w:eastAsia="仿宋" w:cs="仿宋"/>
          <w:b/>
          <w:bCs/>
          <w:sz w:val="32"/>
          <w:szCs w:val="32"/>
        </w:rPr>
        <w:t xml:space="preserve">条 </w:t>
      </w:r>
      <w:r>
        <w:rPr>
          <w:rFonts w:hint="eastAsia" w:ascii="仿宋" w:hAnsi="仿宋" w:eastAsia="仿宋" w:cs="仿宋"/>
          <w:sz w:val="32"/>
          <w:szCs w:val="32"/>
          <w:lang w:val="en-US" w:eastAsia="zh-CN"/>
        </w:rPr>
        <w:t>在“中国公路学会网”“中国公路学会公众号”“中国公路学会交通投融资分会公众号”等对获奖案例、成果进行宣传。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第十</w:t>
      </w: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在中国公路学会主办的相关主题交流活动中，优先推荐获奖案例、成果进行典型经验交流。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第八章 附则</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十九</w:t>
      </w:r>
      <w:r>
        <w:rPr>
          <w:rFonts w:hint="eastAsia" w:ascii="仿宋" w:hAnsi="仿宋" w:eastAsia="仿宋" w:cs="仿宋"/>
          <w:b/>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首届交通企业财务数智化创新大赛获奖案例原则上不可重复申报。如申报案例实现架构性重构或功能性迭代，经组委会形式审核通过后方可参赛。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lang w:val="en-US" w:eastAsia="zh-CN"/>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二十</w:t>
      </w:r>
      <w:r>
        <w:rPr>
          <w:rFonts w:hint="eastAsia" w:ascii="仿宋" w:hAnsi="仿宋" w:eastAsia="仿宋" w:cs="仿宋"/>
          <w:b/>
          <w:sz w:val="32"/>
          <w:szCs w:val="32"/>
        </w:rPr>
        <w:t>条</w:t>
      </w:r>
      <w:r>
        <w:rPr>
          <w:rFonts w:hint="eastAsia" w:ascii="仿宋" w:hAnsi="仿宋" w:eastAsia="仿宋" w:cs="仿宋"/>
          <w:bCs/>
          <w:sz w:val="32"/>
          <w:szCs w:val="32"/>
        </w:rPr>
        <w:t xml:space="preserve"> </w:t>
      </w:r>
      <w:r>
        <w:rPr>
          <w:rFonts w:hint="eastAsia" w:ascii="仿宋" w:hAnsi="仿宋" w:eastAsia="仿宋" w:cs="仿宋"/>
          <w:sz w:val="32"/>
          <w:szCs w:val="32"/>
          <w:lang w:val="en-US" w:eastAsia="zh-CN"/>
        </w:rPr>
        <w:t>本次大赛不收取任何费用。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lang w:val="en-US" w:eastAsia="zh-CN"/>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二十一</w:t>
      </w:r>
      <w:r>
        <w:rPr>
          <w:rFonts w:hint="eastAsia" w:ascii="仿宋" w:hAnsi="仿宋" w:eastAsia="仿宋" w:cs="仿宋"/>
          <w:b/>
          <w:sz w:val="32"/>
          <w:szCs w:val="32"/>
        </w:rPr>
        <w:t>条</w:t>
      </w:r>
      <w:r>
        <w:rPr>
          <w:rFonts w:hint="eastAsia" w:ascii="仿宋" w:hAnsi="仿宋" w:eastAsia="仿宋" w:cs="仿宋"/>
          <w:bCs/>
          <w:sz w:val="32"/>
          <w:szCs w:val="32"/>
        </w:rPr>
        <w:t xml:space="preserve"> </w:t>
      </w:r>
      <w:r>
        <w:rPr>
          <w:rFonts w:hint="eastAsia" w:ascii="仿宋" w:hAnsi="仿宋" w:eastAsia="仿宋" w:cs="仿宋"/>
          <w:sz w:val="32"/>
          <w:szCs w:val="32"/>
          <w:lang w:val="en-US" w:eastAsia="zh-CN"/>
        </w:rPr>
        <w:t>参赛企业应保证案例、成果拥有自主知识产权且无产权纠纷，参赛案例知识产权属于参赛单位。一旦发现存在信息提供不实、伪造等情况，将取消奖励并收回证书和奖杯。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bCs/>
          <w:sz w:val="32"/>
          <w:szCs w:val="32"/>
          <w:lang w:val="en-US" w:eastAsia="zh-CN"/>
        </w:rPr>
      </w:pPr>
      <w:r>
        <w:rPr>
          <w:rFonts w:hint="eastAsia" w:ascii="仿宋" w:hAnsi="仿宋" w:eastAsia="仿宋" w:cs="仿宋"/>
          <w:b/>
          <w:sz w:val="32"/>
          <w:szCs w:val="32"/>
        </w:rPr>
        <w:t>第</w:t>
      </w:r>
      <w:r>
        <w:rPr>
          <w:rFonts w:hint="eastAsia" w:ascii="仿宋" w:hAnsi="仿宋" w:eastAsia="仿宋" w:cs="仿宋"/>
          <w:b/>
          <w:sz w:val="32"/>
          <w:szCs w:val="32"/>
          <w:lang w:val="en-US" w:eastAsia="zh-CN"/>
        </w:rPr>
        <w:t>二十二</w:t>
      </w:r>
      <w:r>
        <w:rPr>
          <w:rFonts w:hint="eastAsia" w:ascii="仿宋" w:hAnsi="仿宋" w:eastAsia="仿宋" w:cs="仿宋"/>
          <w:b/>
          <w:sz w:val="32"/>
          <w:szCs w:val="32"/>
        </w:rPr>
        <w:t>条</w:t>
      </w:r>
      <w:r>
        <w:rPr>
          <w:rFonts w:hint="eastAsia" w:ascii="仿宋" w:hAnsi="仿宋" w:eastAsia="仿宋" w:cs="仿宋"/>
          <w:b/>
          <w:sz w:val="32"/>
          <w:szCs w:val="32"/>
          <w:lang w:val="en-US" w:eastAsia="zh-CN"/>
        </w:rPr>
        <w:t xml:space="preserve"> </w:t>
      </w:r>
      <w:r>
        <w:rPr>
          <w:rFonts w:hint="eastAsia" w:ascii="仿宋" w:hAnsi="仿宋" w:eastAsia="仿宋" w:cs="仿宋"/>
          <w:sz w:val="32"/>
          <w:szCs w:val="32"/>
          <w:lang w:val="en-US" w:eastAsia="zh-CN"/>
        </w:rPr>
        <w:t>本办法由大赛组委会负责修订和解释。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32" w:firstLineChars="228"/>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二十三</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本办法自2026年4月1日起施行。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729" w:firstLineChars="228"/>
        <w:jc w:val="both"/>
        <w:textAlignment w:val="auto"/>
        <w:rPr>
          <w:rFonts w:hint="eastAsia"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658CC"/>
    <w:rsid w:val="081C5503"/>
    <w:rsid w:val="1BC6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首行缩进 21"/>
    <w:basedOn w:val="7"/>
    <w:next w:val="3"/>
    <w:qFormat/>
    <w:uiPriority w:val="0"/>
    <w:pPr>
      <w:ind w:firstLine="420" w:firstLineChars="200"/>
    </w:pPr>
    <w:rPr>
      <w:szCs w:val="20"/>
    </w:rPr>
  </w:style>
  <w:style w:type="paragraph" w:customStyle="1" w:styleId="7">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2026-04-13T02:19:00Z</dcterms:created>
  <dc:creator>A平顶山贝贝育儿顾问-荣荣</dc:creator>
  <cp:lastModifiedBy>A平顶山贝贝育儿顾问-荣荣</cp:lastModifiedBy>
  <dcterms:modified xsi:type="dcterms:W3CDTF">2026-04-13T03:05:28Z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